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 Contract (including but not limited to </w:t>
      </w:r>
      <w:r w:rsidDel="00000000" w:rsidR="00000000" w:rsidRPr="00000000">
        <w:rPr>
          <w:rFonts w:ascii="Arial" w:cs="Arial" w:eastAsia="Arial" w:hAnsi="Arial"/>
          <w:sz w:val="24"/>
          <w:szCs w:val="24"/>
          <w:rtl w:val="0"/>
        </w:rPr>
        <w:t xml:space="preserve">those increases agreed during any dialogue that is conducted in accordance with Framework Schedule 7 (Call-Off Procedure))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shall be automatically reduced by the Supplier in accordance with the accurate and timely application of any volume discounts that have been identified within the Order Form and based on the volume discounts offered by the Supplier and contained in Annex 1.</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sz w:val="24"/>
          <w:szCs w:val="24"/>
          <w:rtl w:val="0"/>
        </w:rPr>
        <w:t xml:space="preserve">With the exception of the application of any volume discounts, 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ny variation to the Charges payable under a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 Contracts. The Time to Serve (the anticipated time taken to action a task) will be agreed between the Buyer and Supplier as part of the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 Process.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Pricing shall be calculated using Annex 2, unless expressly agreed otherwise with the Buyer at Call-Off Stage.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Where the Buyer uses a Direct Award process, as defined in paragraph 2 of Schedule 7 (Call-Off Award Procedure), then the Buyer shall input the Time to Serve to calculate the unit cost that will form part of the Charges under the Call-Off Contract.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Where the Buyer is using a Direct Award with dialogue (as set out in paragraph 3 of Framework Schedule 7 (Call-Off Procedure) to refine their requirement, then the Buyer may use Annex 1 and Annex 2 to assist the dialogue process and the formation of the Charges to take into consideration any fluctuations that may be required as a result of the refined Deliverables. </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Where Mobilisation Costs (as defined in Joint Schedule 1 (Definitions)) are deemed necessary these shall be agreed between the Buyer and Supplier as part of the dialogue phase (in accordance with Framework Schedule 7 (Call-Off Procedure) and will be, in addition to the Framework Prices. </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1fob9te" w:id="2"/>
      <w:bookmarkEnd w:id="2"/>
      <w:r w:rsidDel="00000000" w:rsidR="00000000" w:rsidRPr="00000000">
        <w:rPr>
          <w:rFonts w:ascii="Arial" w:cs="Arial" w:eastAsia="Arial" w:hAnsi="Arial"/>
          <w:b w:val="1"/>
          <w:sz w:val="24"/>
          <w:szCs w:val="24"/>
          <w:rtl w:val="0"/>
        </w:rPr>
        <w:t xml:space="preserve">Which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 and expenses are included in the Framework Prices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 Order Form</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Framework Prices shall include all costs and expenses relating to the provision of Deliverables. No further amounts shall be payable in respect of matters such as (but not exclusively):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r w:rsidDel="00000000" w:rsidR="00000000" w:rsidRPr="00000000">
        <w:rPr>
          <w:rFonts w:ascii="Arial" w:cs="Arial" w:eastAsia="Arial" w:hAnsi="Arial"/>
          <w:sz w:val="24"/>
          <w:szCs w:val="24"/>
          <w:rtl w:val="0"/>
        </w:rPr>
        <w:t xml:space="preserve">  unless agreed and identified as Mobilisation Costs within the dialogue process and identified in the Order Form.</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only by exception.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both"/>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as captured in Annex 1, that comprise the relevant Framework Price;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Framework Price;</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Price is no greater than that applying to Framework Prices using the same pricing mechanism as at the Contract Commencement Date.</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evidence that without the increase in the Framework Price the Supplier may not be able to continue to provide the Services to the same standard and in the same manner as it has up to the relevant Review Date.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consider each request for a price increase.  CCS may grant Approval to an increase at its sole discretion, and only by except</w:t>
      </w:r>
      <w:r w:rsidDel="00000000" w:rsidR="00000000" w:rsidRPr="00000000">
        <w:rPr>
          <w:rFonts w:ascii="Arial" w:cs="Arial" w:eastAsia="Arial" w:hAnsi="Arial"/>
          <w:sz w:val="24"/>
          <w:szCs w:val="24"/>
          <w:rtl w:val="0"/>
        </w:rPr>
        <w:t xml:space="preserve">ion</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137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pageBreakBefore w:val="0"/>
        <w:jc w:val="both"/>
        <w:rPr>
          <w:rFonts w:ascii="Arial" w:cs="Arial" w:eastAsia="Arial" w:hAnsi="Arial"/>
          <w:b w:val="1"/>
          <w:sz w:val="36"/>
          <w:szCs w:val="36"/>
        </w:rPr>
      </w:pPr>
      <w:bookmarkStart w:colFirst="0" w:colLast="0" w:name="_heading=h.1t3h5sf" w:id="4"/>
      <w:bookmarkEnd w:id="4"/>
      <w:r w:rsidDel="00000000" w:rsidR="00000000" w:rsidRPr="00000000">
        <w:rPr>
          <w:rFonts w:ascii="Arial" w:cs="Arial" w:eastAsia="Arial" w:hAnsi="Arial"/>
          <w:b w:val="1"/>
          <w:sz w:val="36"/>
          <w:szCs w:val="36"/>
          <w:rtl w:val="0"/>
        </w:rPr>
        <w:t xml:space="preserve">Annex 1: Rates and Prices</w:t>
      </w: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pageBreakBefore w:val="0"/>
        <w:jc w:val="both"/>
        <w:rPr>
          <w:rFonts w:ascii="Arial" w:cs="Arial" w:eastAsia="Arial" w:hAnsi="Arial"/>
          <w:b w:val="1"/>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WBGGTiVHKZTFcIZ6mEtIPsL8RA==">CgMxLjAyCGguZ2pkZ3hzMgloLjMwajB6bGwyCWguMWZvYjl0ZTIJaC4yZXQ5MnAwMgloLjF0M2g1c2Y4AHIhMTFTV19fNnZwNXktYXpBWFluNFVoNndqWE9ZemM3bVNS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